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CD" w:rsidRDefault="000512CD" w:rsidP="000512CD">
      <w:pPr>
        <w:spacing w:line="360" w:lineRule="auto"/>
        <w:jc w:val="center"/>
        <w:rPr>
          <w:rFonts w:ascii="Arial" w:hAnsi="Arial" w:cs="Arial"/>
          <w:b/>
          <w:bCs/>
          <w:color w:val="4F6228"/>
          <w:sz w:val="28"/>
        </w:rPr>
      </w:pPr>
      <w:r>
        <w:rPr>
          <w:rFonts w:ascii="Arial" w:hAnsi="Arial" w:cs="Arial"/>
          <w:b/>
          <w:bCs/>
          <w:color w:val="4F6228"/>
          <w:sz w:val="28"/>
        </w:rPr>
        <w:t xml:space="preserve">Tekst źródłowy </w:t>
      </w:r>
    </w:p>
    <w:p w:rsidR="005E6279" w:rsidRDefault="005E6279" w:rsidP="000512CD">
      <w:pPr>
        <w:spacing w:line="360" w:lineRule="auto"/>
        <w:jc w:val="center"/>
        <w:rPr>
          <w:rFonts w:ascii="Arial" w:hAnsi="Arial" w:cs="Arial"/>
          <w:b/>
          <w:bCs/>
          <w:color w:val="4F6228"/>
          <w:sz w:val="28"/>
        </w:rPr>
      </w:pPr>
      <w:r>
        <w:rPr>
          <w:rFonts w:ascii="Arial" w:hAnsi="Arial" w:cs="Arial"/>
          <w:b/>
          <w:bCs/>
          <w:color w:val="4F6228"/>
          <w:sz w:val="28"/>
        </w:rPr>
        <w:t>Czynniki mutagenne</w:t>
      </w:r>
    </w:p>
    <w:p w:rsidR="000512CD" w:rsidRPr="000512CD" w:rsidRDefault="000512CD" w:rsidP="000512CD">
      <w:pPr>
        <w:spacing w:line="360" w:lineRule="auto"/>
        <w:jc w:val="center"/>
        <w:rPr>
          <w:rFonts w:ascii="Arial" w:hAnsi="Arial" w:cs="Arial"/>
          <w:b/>
          <w:bCs/>
          <w:color w:val="4F6228"/>
          <w:sz w:val="28"/>
        </w:rPr>
      </w:pPr>
    </w:p>
    <w:p w:rsidR="000512CD" w:rsidRPr="000512CD" w:rsidRDefault="000512CD" w:rsidP="000512CD">
      <w:pPr>
        <w:spacing w:line="360" w:lineRule="auto"/>
        <w:rPr>
          <w:rFonts w:ascii="Arial" w:hAnsi="Arial" w:cs="Arial"/>
        </w:rPr>
      </w:pPr>
      <w:r w:rsidRPr="000512CD">
        <w:rPr>
          <w:rFonts w:ascii="Arial" w:hAnsi="Arial" w:cs="Arial"/>
        </w:rPr>
        <w:t>Mutacje mogą wywoływać:</w:t>
      </w:r>
    </w:p>
    <w:p w:rsidR="000512CD" w:rsidRPr="000512CD" w:rsidRDefault="000512CD" w:rsidP="000512CD">
      <w:pPr>
        <w:pStyle w:val="Akapitzlist"/>
        <w:numPr>
          <w:ilvl w:val="0"/>
          <w:numId w:val="2"/>
        </w:numPr>
        <w:spacing w:line="360" w:lineRule="auto"/>
        <w:rPr>
          <w:rFonts w:ascii="Arial" w:hAnsi="Arial" w:cs="Arial"/>
        </w:rPr>
      </w:pPr>
      <w:r w:rsidRPr="000512CD">
        <w:rPr>
          <w:rFonts w:ascii="Arial" w:hAnsi="Arial" w:cs="Arial"/>
          <w:b/>
          <w:bCs/>
        </w:rPr>
        <w:t>Promieniowanie ultrafioletowe (UV)</w:t>
      </w:r>
      <w:r w:rsidRPr="000512CD">
        <w:rPr>
          <w:rFonts w:ascii="Arial" w:hAnsi="Arial" w:cs="Arial"/>
        </w:rPr>
        <w:t xml:space="preserve">, które słabo przenika przez tkanki, jednak jest bardzo silnie pochłaniane przez DNA. Może prowadzić do zaburzenia replikacji oraz rozrywania podwójnej helisy DNA </w:t>
      </w:r>
    </w:p>
    <w:p w:rsidR="000512CD" w:rsidRPr="000512CD" w:rsidRDefault="000512CD" w:rsidP="000512CD">
      <w:pPr>
        <w:pStyle w:val="Akapitzlist"/>
        <w:numPr>
          <w:ilvl w:val="0"/>
          <w:numId w:val="2"/>
        </w:numPr>
        <w:spacing w:line="360" w:lineRule="auto"/>
        <w:rPr>
          <w:rFonts w:ascii="Arial" w:hAnsi="Arial" w:cs="Arial"/>
        </w:rPr>
      </w:pPr>
      <w:r>
        <w:rPr>
          <w:rFonts w:ascii="Arial" w:hAnsi="Arial" w:cs="Arial"/>
          <w:b/>
        </w:rPr>
        <w:t xml:space="preserve">Niektóre wirusy </w:t>
      </w:r>
      <w:r w:rsidRPr="000512CD">
        <w:rPr>
          <w:rFonts w:ascii="Arial" w:hAnsi="Arial" w:cs="Arial"/>
        </w:rPr>
        <w:t>(różyczki, opryszczki)</w:t>
      </w:r>
    </w:p>
    <w:p w:rsidR="000512CD" w:rsidRPr="000512CD" w:rsidRDefault="000512CD" w:rsidP="000512CD">
      <w:pPr>
        <w:pStyle w:val="Akapitzlist"/>
        <w:numPr>
          <w:ilvl w:val="0"/>
          <w:numId w:val="2"/>
        </w:numPr>
        <w:spacing w:line="360" w:lineRule="auto"/>
        <w:rPr>
          <w:rFonts w:ascii="Arial" w:hAnsi="Arial" w:cs="Arial"/>
        </w:rPr>
      </w:pPr>
      <w:r w:rsidRPr="000512CD">
        <w:rPr>
          <w:rFonts w:ascii="Arial" w:hAnsi="Arial" w:cs="Arial"/>
          <w:b/>
        </w:rPr>
        <w:t>Analogi zasad</w:t>
      </w:r>
      <w:r w:rsidRPr="000512CD">
        <w:rPr>
          <w:rFonts w:ascii="Arial" w:hAnsi="Arial" w:cs="Arial"/>
        </w:rPr>
        <w:t>, podobne do zasad azotowych mogą podczas replikacji zostać wbudowane w skład DNA. Prowadzi to do zmniejszenia stabilności wiązań wodorowych oraz nieprawidłowego łączenia się zasad</w:t>
      </w:r>
    </w:p>
    <w:p w:rsidR="000512CD" w:rsidRPr="000512CD" w:rsidRDefault="000512CD" w:rsidP="000512CD">
      <w:pPr>
        <w:pStyle w:val="Akapitzlist"/>
        <w:numPr>
          <w:ilvl w:val="0"/>
          <w:numId w:val="2"/>
        </w:numPr>
        <w:spacing w:line="360" w:lineRule="auto"/>
        <w:rPr>
          <w:rFonts w:ascii="Arial" w:hAnsi="Arial" w:cs="Arial"/>
        </w:rPr>
      </w:pPr>
      <w:r w:rsidRPr="000512CD">
        <w:rPr>
          <w:rFonts w:ascii="Arial" w:hAnsi="Arial" w:cs="Arial"/>
          <w:b/>
        </w:rPr>
        <w:t>Pierwotniaki</w:t>
      </w:r>
      <w:r>
        <w:rPr>
          <w:rFonts w:ascii="Arial" w:hAnsi="Arial" w:cs="Arial"/>
        </w:rPr>
        <w:t xml:space="preserve"> wywołujące toksoplazmozę.</w:t>
      </w:r>
    </w:p>
    <w:p w:rsidR="000512CD" w:rsidRPr="000512CD" w:rsidRDefault="000512CD" w:rsidP="000512CD">
      <w:pPr>
        <w:pStyle w:val="Akapitzlist"/>
        <w:numPr>
          <w:ilvl w:val="0"/>
          <w:numId w:val="2"/>
        </w:numPr>
        <w:spacing w:line="360" w:lineRule="auto"/>
        <w:rPr>
          <w:rFonts w:ascii="Arial" w:hAnsi="Arial" w:cs="Arial"/>
        </w:rPr>
      </w:pPr>
      <w:proofErr w:type="spellStart"/>
      <w:r w:rsidRPr="000512CD">
        <w:rPr>
          <w:rFonts w:ascii="Arial" w:hAnsi="Arial" w:cs="Arial"/>
          <w:b/>
        </w:rPr>
        <w:t>Mykotoksyny</w:t>
      </w:r>
      <w:proofErr w:type="spellEnd"/>
      <w:r w:rsidRPr="000512CD">
        <w:rPr>
          <w:rFonts w:ascii="Arial" w:hAnsi="Arial" w:cs="Arial"/>
        </w:rPr>
        <w:t xml:space="preserve"> produkowane przez niektóre grzy</w:t>
      </w:r>
      <w:r>
        <w:rPr>
          <w:rFonts w:ascii="Arial" w:hAnsi="Arial" w:cs="Arial"/>
        </w:rPr>
        <w:t xml:space="preserve">by pleśniowe (gł. </w:t>
      </w:r>
      <w:proofErr w:type="spellStart"/>
      <w:r>
        <w:rPr>
          <w:rFonts w:ascii="Arial" w:hAnsi="Arial" w:cs="Arial"/>
        </w:rPr>
        <w:t>aflatoksyny</w:t>
      </w:r>
      <w:proofErr w:type="spellEnd"/>
      <w:r>
        <w:rPr>
          <w:rFonts w:ascii="Arial" w:hAnsi="Arial" w:cs="Arial"/>
        </w:rPr>
        <w:t>)</w:t>
      </w:r>
    </w:p>
    <w:p w:rsidR="000512CD" w:rsidRPr="000512CD" w:rsidRDefault="000512CD" w:rsidP="000512CD">
      <w:pPr>
        <w:pStyle w:val="Akapitzlist"/>
        <w:numPr>
          <w:ilvl w:val="0"/>
          <w:numId w:val="2"/>
        </w:numPr>
        <w:spacing w:line="360" w:lineRule="auto"/>
        <w:rPr>
          <w:rFonts w:ascii="Arial" w:hAnsi="Arial" w:cs="Arial"/>
        </w:rPr>
      </w:pPr>
      <w:r w:rsidRPr="000512CD">
        <w:rPr>
          <w:rFonts w:ascii="Arial" w:hAnsi="Arial" w:cs="Arial"/>
          <w:b/>
          <w:bCs/>
        </w:rPr>
        <w:t>Promieniowanie jonizujące</w:t>
      </w:r>
      <w:r>
        <w:rPr>
          <w:rFonts w:ascii="Arial" w:hAnsi="Arial" w:cs="Arial"/>
        </w:rPr>
        <w:t>, które</w:t>
      </w:r>
      <w:r w:rsidRPr="000512CD">
        <w:rPr>
          <w:rFonts w:ascii="Arial" w:hAnsi="Arial" w:cs="Arial"/>
        </w:rPr>
        <w:t xml:space="preserve"> bardzo dobrze przenika przez tkanki. Powstałe pod jego wpływem jony mogą zapoczątkować różne reakcje chemiczne prowadzące do  produkcji nadtlenków, mogących wywołać mutacje oraz prowadzi do powstania wolnych rodników, których rozpad powoduje wyzwolenie dużych ilości energii wywołującej</w:t>
      </w:r>
      <w:r>
        <w:rPr>
          <w:rFonts w:ascii="Arial" w:hAnsi="Arial" w:cs="Arial"/>
        </w:rPr>
        <w:t xml:space="preserve"> zmiany chemiczne w DNA</w:t>
      </w:r>
      <w:r w:rsidRPr="000512CD">
        <w:rPr>
          <w:rFonts w:ascii="Arial" w:hAnsi="Arial" w:cs="Arial"/>
        </w:rPr>
        <w:t xml:space="preserve"> </w:t>
      </w:r>
    </w:p>
    <w:p w:rsidR="000512CD" w:rsidRPr="000512CD" w:rsidRDefault="000512CD" w:rsidP="000512CD">
      <w:pPr>
        <w:pStyle w:val="Akapitzlist"/>
        <w:numPr>
          <w:ilvl w:val="0"/>
          <w:numId w:val="2"/>
        </w:numPr>
        <w:spacing w:line="360" w:lineRule="auto"/>
        <w:rPr>
          <w:rFonts w:ascii="Arial" w:hAnsi="Arial" w:cs="Arial"/>
        </w:rPr>
      </w:pPr>
      <w:r w:rsidRPr="000512CD">
        <w:rPr>
          <w:rFonts w:ascii="Arial" w:hAnsi="Arial" w:cs="Arial"/>
          <w:b/>
        </w:rPr>
        <w:t>Czynniki alkilujące</w:t>
      </w:r>
      <w:r w:rsidRPr="000512CD">
        <w:rPr>
          <w:rFonts w:ascii="Arial" w:hAnsi="Arial" w:cs="Arial"/>
        </w:rPr>
        <w:t xml:space="preserve"> (iperyty, tlenki etylenu, halogenki metylu, produkty metabolizmu azotynów), czyli związki, które dodają do nukleotydów grupy alkilowe lub arylowe. Efekt ich działania jest różny i zależy od pozycji</w:t>
      </w:r>
      <w:r>
        <w:rPr>
          <w:rFonts w:ascii="Arial" w:hAnsi="Arial" w:cs="Arial"/>
        </w:rPr>
        <w:t>,</w:t>
      </w:r>
      <w:r w:rsidRPr="000512CD">
        <w:rPr>
          <w:rFonts w:ascii="Arial" w:hAnsi="Arial" w:cs="Arial"/>
        </w:rPr>
        <w:t xml:space="preserve"> w której zostaje zmodyfikowany nukleotyd oraz od rodzaju dodawanej grupy</w:t>
      </w:r>
      <w:r>
        <w:rPr>
          <w:rFonts w:ascii="Arial" w:hAnsi="Arial" w:cs="Arial"/>
        </w:rPr>
        <w:t xml:space="preserve"> alkilowej lub arylowej</w:t>
      </w:r>
    </w:p>
    <w:p w:rsidR="000512CD" w:rsidRPr="000512CD" w:rsidRDefault="000512CD" w:rsidP="000512CD">
      <w:pPr>
        <w:pStyle w:val="Akapitzlist"/>
        <w:numPr>
          <w:ilvl w:val="0"/>
          <w:numId w:val="2"/>
        </w:numPr>
        <w:spacing w:line="360" w:lineRule="auto"/>
        <w:rPr>
          <w:rFonts w:ascii="Arial" w:hAnsi="Arial" w:cs="Arial"/>
          <w:b/>
        </w:rPr>
      </w:pPr>
      <w:r w:rsidRPr="000512CD">
        <w:rPr>
          <w:rFonts w:ascii="Arial" w:hAnsi="Arial" w:cs="Arial"/>
          <w:b/>
        </w:rPr>
        <w:t xml:space="preserve">Temperatura – </w:t>
      </w:r>
      <w:r w:rsidRPr="000512CD">
        <w:rPr>
          <w:rFonts w:ascii="Arial" w:hAnsi="Arial" w:cs="Arial"/>
        </w:rPr>
        <w:t>jej zmiany mogą spowodować hydrolizę wiązania, które</w:t>
      </w:r>
      <w:r>
        <w:rPr>
          <w:rFonts w:ascii="Arial" w:hAnsi="Arial" w:cs="Arial"/>
        </w:rPr>
        <w:t xml:space="preserve"> łączy zasadę azotową z cukrem</w:t>
      </w:r>
    </w:p>
    <w:p w:rsidR="000512CD" w:rsidRPr="000512CD" w:rsidRDefault="000512CD" w:rsidP="000512CD">
      <w:pPr>
        <w:pStyle w:val="Akapitzlist"/>
        <w:numPr>
          <w:ilvl w:val="0"/>
          <w:numId w:val="2"/>
        </w:numPr>
        <w:spacing w:line="360" w:lineRule="auto"/>
        <w:rPr>
          <w:rFonts w:ascii="Arial" w:hAnsi="Arial" w:cs="Arial"/>
          <w:b/>
        </w:rPr>
      </w:pPr>
      <w:r w:rsidRPr="000512CD">
        <w:rPr>
          <w:rFonts w:ascii="Arial" w:hAnsi="Arial" w:cs="Arial"/>
        </w:rPr>
        <w:t xml:space="preserve">Niektóre </w:t>
      </w:r>
      <w:r w:rsidRPr="000512CD">
        <w:rPr>
          <w:rFonts w:ascii="Arial" w:hAnsi="Arial" w:cs="Arial"/>
          <w:b/>
        </w:rPr>
        <w:t>leki</w:t>
      </w:r>
      <w:r w:rsidRPr="000512CD">
        <w:rPr>
          <w:rFonts w:ascii="Arial" w:hAnsi="Arial" w:cs="Arial"/>
        </w:rPr>
        <w:t xml:space="preserve"> psychotropowe, antybiotyki</w:t>
      </w:r>
    </w:p>
    <w:p w:rsidR="000512CD" w:rsidRPr="000512CD" w:rsidRDefault="000512CD" w:rsidP="000512CD">
      <w:pPr>
        <w:pStyle w:val="Akapitzlist"/>
        <w:numPr>
          <w:ilvl w:val="0"/>
          <w:numId w:val="2"/>
        </w:numPr>
        <w:spacing w:line="360" w:lineRule="auto"/>
        <w:rPr>
          <w:rFonts w:ascii="Arial" w:hAnsi="Arial" w:cs="Arial"/>
          <w:b/>
        </w:rPr>
      </w:pPr>
      <w:r w:rsidRPr="000512CD">
        <w:rPr>
          <w:rFonts w:ascii="Arial" w:hAnsi="Arial" w:cs="Arial"/>
        </w:rPr>
        <w:t xml:space="preserve">Konserwanty, środki ochrony czystości, środki chwastobójcze, owadobójcze. </w:t>
      </w:r>
    </w:p>
    <w:p w:rsidR="000512CD" w:rsidRPr="000512CD" w:rsidRDefault="000512CD" w:rsidP="000512CD">
      <w:pPr>
        <w:pStyle w:val="Akapitzlist"/>
        <w:numPr>
          <w:ilvl w:val="0"/>
          <w:numId w:val="2"/>
        </w:numPr>
        <w:spacing w:line="360" w:lineRule="auto"/>
        <w:rPr>
          <w:rFonts w:ascii="Arial" w:hAnsi="Arial" w:cs="Arial"/>
          <w:b/>
        </w:rPr>
      </w:pPr>
      <w:r w:rsidRPr="000512CD">
        <w:rPr>
          <w:rFonts w:ascii="Arial" w:hAnsi="Arial" w:cs="Arial"/>
        </w:rPr>
        <w:t>Składniki dymu papierosowego lub spalin (policykliczne węglowodory aromatyczne)</w:t>
      </w:r>
    </w:p>
    <w:p w:rsidR="000512CD" w:rsidRDefault="000512CD" w:rsidP="000512CD">
      <w:pPr>
        <w:spacing w:line="360" w:lineRule="auto"/>
        <w:rPr>
          <w:rFonts w:ascii="Arial" w:hAnsi="Arial" w:cs="Arial"/>
          <w:b/>
        </w:rPr>
      </w:pPr>
    </w:p>
    <w:p w:rsidR="000512CD" w:rsidRDefault="000512CD" w:rsidP="000512CD">
      <w:pPr>
        <w:spacing w:line="360" w:lineRule="auto"/>
        <w:rPr>
          <w:rFonts w:ascii="Arial" w:hAnsi="Arial" w:cs="Arial"/>
          <w:iCs/>
        </w:rPr>
      </w:pPr>
      <w:bookmarkStart w:id="0" w:name="_GoBack"/>
      <w:bookmarkEnd w:id="0"/>
      <w:r w:rsidRPr="000512CD">
        <w:rPr>
          <w:rFonts w:ascii="Arial" w:hAnsi="Arial" w:cs="Arial"/>
          <w:b/>
          <w:sz w:val="22"/>
        </w:rPr>
        <w:lastRenderedPageBreak/>
        <w:t>Literatura:</w:t>
      </w:r>
      <w:r w:rsidRPr="000512CD">
        <w:rPr>
          <w:rFonts w:ascii="Arial" w:hAnsi="Arial" w:cs="Arial"/>
          <w:sz w:val="22"/>
        </w:rPr>
        <w:t xml:space="preserve"> </w:t>
      </w:r>
      <w:r w:rsidRPr="000512CD">
        <w:rPr>
          <w:rFonts w:ascii="Arial" w:hAnsi="Arial" w:cs="Arial"/>
        </w:rPr>
        <w:br/>
      </w:r>
      <w:r w:rsidRPr="000512CD">
        <w:rPr>
          <w:rFonts w:ascii="Arial" w:hAnsi="Arial" w:cs="Arial"/>
          <w:iCs/>
        </w:rPr>
        <w:t xml:space="preserve">Anna </w:t>
      </w:r>
      <w:proofErr w:type="spellStart"/>
      <w:r w:rsidRPr="000512CD">
        <w:rPr>
          <w:rFonts w:ascii="Arial" w:hAnsi="Arial" w:cs="Arial"/>
          <w:iCs/>
        </w:rPr>
        <w:t>Sadakierska</w:t>
      </w:r>
      <w:proofErr w:type="spellEnd"/>
      <w:r w:rsidRPr="000512CD">
        <w:rPr>
          <w:rFonts w:ascii="Arial" w:hAnsi="Arial" w:cs="Arial"/>
          <w:iCs/>
        </w:rPr>
        <w:t>-Chu</w:t>
      </w:r>
      <w:r>
        <w:rPr>
          <w:rFonts w:ascii="Arial" w:hAnsi="Arial" w:cs="Arial"/>
          <w:iCs/>
        </w:rPr>
        <w:t>dy, Grażyna Dąbrowska, Anna Goc,</w:t>
      </w:r>
      <w:r w:rsidRPr="000512CD">
        <w:rPr>
          <w:rFonts w:ascii="Arial" w:hAnsi="Arial" w:cs="Arial"/>
          <w:iCs/>
        </w:rPr>
        <w:t xml:space="preserve"> </w:t>
      </w:r>
      <w:r w:rsidRPr="000512CD">
        <w:rPr>
          <w:rFonts w:ascii="Arial" w:hAnsi="Arial" w:cs="Arial"/>
          <w:i/>
          <w:iCs/>
        </w:rPr>
        <w:t>Genetyka ogólna</w:t>
      </w:r>
      <w:r>
        <w:rPr>
          <w:rFonts w:ascii="Arial" w:hAnsi="Arial" w:cs="Arial"/>
          <w:i/>
          <w:iCs/>
        </w:rPr>
        <w:t>.</w:t>
      </w:r>
      <w:r w:rsidRPr="000512CD">
        <w:rPr>
          <w:rFonts w:ascii="Arial" w:hAnsi="Arial" w:cs="Arial"/>
          <w:iCs/>
        </w:rPr>
        <w:t xml:space="preserve"> </w:t>
      </w:r>
      <w:r w:rsidRPr="000512CD">
        <w:rPr>
          <w:rFonts w:ascii="Arial" w:hAnsi="Arial" w:cs="Arial"/>
          <w:i/>
          <w:iCs/>
        </w:rPr>
        <w:t>Skrypt do ćwiczeń dla studentów biologii</w:t>
      </w:r>
      <w:r>
        <w:rPr>
          <w:rFonts w:ascii="Arial" w:hAnsi="Arial" w:cs="Arial"/>
          <w:iCs/>
        </w:rPr>
        <w:t>,</w:t>
      </w:r>
      <w:r w:rsidRPr="000512CD">
        <w:rPr>
          <w:rFonts w:ascii="Arial" w:hAnsi="Arial" w:cs="Arial"/>
          <w:iCs/>
        </w:rPr>
        <w:t xml:space="preserve"> Uniwersytet Mikołaja Kopernika</w:t>
      </w:r>
      <w:r>
        <w:rPr>
          <w:rFonts w:ascii="Arial" w:hAnsi="Arial" w:cs="Arial"/>
          <w:iCs/>
        </w:rPr>
        <w:t>, Toruń 2004</w:t>
      </w:r>
    </w:p>
    <w:p w:rsidR="000512CD" w:rsidRDefault="000512CD" w:rsidP="000512CD">
      <w:pPr>
        <w:spacing w:line="360" w:lineRule="auto"/>
        <w:rPr>
          <w:rFonts w:ascii="Arial" w:hAnsi="Arial" w:cs="Arial"/>
          <w:iCs/>
        </w:rPr>
      </w:pPr>
      <w:r>
        <w:rPr>
          <w:rFonts w:ascii="Arial" w:hAnsi="Arial" w:cs="Arial"/>
          <w:iCs/>
        </w:rPr>
        <w:br/>
      </w:r>
      <w:r w:rsidRPr="000512CD">
        <w:rPr>
          <w:rFonts w:ascii="Arial" w:hAnsi="Arial" w:cs="Arial"/>
          <w:iCs/>
        </w:rPr>
        <w:t>Wilhelm Grzesiak, Arkadiusz M</w:t>
      </w:r>
      <w:r>
        <w:rPr>
          <w:rFonts w:ascii="Arial" w:hAnsi="Arial" w:cs="Arial"/>
          <w:iCs/>
        </w:rPr>
        <w:t xml:space="preserve">arian Kawęcki, </w:t>
      </w:r>
      <w:r w:rsidRPr="000512CD">
        <w:rPr>
          <w:rFonts w:ascii="Arial" w:hAnsi="Arial" w:cs="Arial"/>
          <w:i/>
          <w:iCs/>
        </w:rPr>
        <w:t>Genetyka zwierząt</w:t>
      </w:r>
      <w:r>
        <w:rPr>
          <w:rFonts w:ascii="Arial" w:hAnsi="Arial" w:cs="Arial"/>
          <w:i/>
          <w:iCs/>
        </w:rPr>
        <w:t>.</w:t>
      </w:r>
      <w:r w:rsidRPr="000512CD">
        <w:rPr>
          <w:rFonts w:ascii="Arial" w:hAnsi="Arial" w:cs="Arial"/>
          <w:i/>
          <w:iCs/>
        </w:rPr>
        <w:t xml:space="preserve"> Przewodnik do ćwiczeń</w:t>
      </w:r>
      <w:r>
        <w:rPr>
          <w:rFonts w:ascii="Arial" w:hAnsi="Arial" w:cs="Arial"/>
          <w:iCs/>
        </w:rPr>
        <w:t>,</w:t>
      </w:r>
      <w:r w:rsidRPr="000512CD">
        <w:rPr>
          <w:rFonts w:ascii="Arial" w:hAnsi="Arial" w:cs="Arial"/>
          <w:iCs/>
        </w:rPr>
        <w:t xml:space="preserve"> Akademia Rolnic</w:t>
      </w:r>
      <w:r>
        <w:rPr>
          <w:rFonts w:ascii="Arial" w:hAnsi="Arial" w:cs="Arial"/>
          <w:iCs/>
        </w:rPr>
        <w:t>za w Szczecinie, Szczecin 1998</w:t>
      </w:r>
    </w:p>
    <w:p w:rsidR="000512CD" w:rsidRPr="000512CD" w:rsidRDefault="000512CD" w:rsidP="000512CD">
      <w:pPr>
        <w:spacing w:line="360" w:lineRule="auto"/>
        <w:rPr>
          <w:rFonts w:ascii="Arial" w:hAnsi="Arial" w:cs="Arial"/>
        </w:rPr>
      </w:pPr>
      <w:r w:rsidRPr="000512CD">
        <w:rPr>
          <w:rFonts w:ascii="Arial" w:hAnsi="Arial" w:cs="Arial"/>
          <w:iCs/>
        </w:rPr>
        <w:br/>
        <w:t xml:space="preserve">Ewa </w:t>
      </w:r>
      <w:proofErr w:type="spellStart"/>
      <w:r w:rsidRPr="000512CD">
        <w:rPr>
          <w:rFonts w:ascii="Arial" w:hAnsi="Arial" w:cs="Arial"/>
          <w:iCs/>
        </w:rPr>
        <w:t>Pyłka</w:t>
      </w:r>
      <w:proofErr w:type="spellEnd"/>
      <w:r w:rsidRPr="000512CD">
        <w:rPr>
          <w:rFonts w:ascii="Arial" w:hAnsi="Arial" w:cs="Arial"/>
          <w:iCs/>
        </w:rPr>
        <w:t>-Gutowska</w:t>
      </w:r>
      <w:r>
        <w:rPr>
          <w:rFonts w:ascii="Arial" w:hAnsi="Arial" w:cs="Arial"/>
          <w:iCs/>
        </w:rPr>
        <w:t>,</w:t>
      </w:r>
      <w:r w:rsidRPr="000512CD">
        <w:rPr>
          <w:rFonts w:ascii="Arial" w:hAnsi="Arial" w:cs="Arial"/>
          <w:i/>
          <w:iCs/>
        </w:rPr>
        <w:t xml:space="preserve"> Biologia vademecum maturzysty</w:t>
      </w:r>
      <w:r w:rsidRPr="000512CD">
        <w:rPr>
          <w:rFonts w:ascii="Arial" w:hAnsi="Arial" w:cs="Arial"/>
          <w:iCs/>
        </w:rPr>
        <w:t>, Wydanie siódme zmienione, Wydaw</w:t>
      </w:r>
      <w:r>
        <w:rPr>
          <w:rFonts w:ascii="Arial" w:hAnsi="Arial" w:cs="Arial"/>
          <w:iCs/>
        </w:rPr>
        <w:t>nictwo „OŚWIATA”, Warszawa 2002</w:t>
      </w:r>
    </w:p>
    <w:p w:rsidR="00BB4EA3" w:rsidRPr="000512CD" w:rsidRDefault="005E6279" w:rsidP="000512CD">
      <w:pPr>
        <w:spacing w:line="360" w:lineRule="auto"/>
        <w:rPr>
          <w:rFonts w:ascii="Arial" w:hAnsi="Arial" w:cs="Arial"/>
        </w:rPr>
      </w:pPr>
    </w:p>
    <w:sectPr w:rsidR="00BB4EA3" w:rsidRPr="000512CD" w:rsidSect="00D92979">
      <w:headerReference w:type="default" r:id="rId8"/>
      <w:footerReference w:type="default" r:id="rId9"/>
      <w:pgSz w:w="11906" w:h="16838" w:code="9"/>
      <w:pgMar w:top="0" w:right="1418"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6279">
      <w:r>
        <w:separator/>
      </w:r>
    </w:p>
  </w:endnote>
  <w:endnote w:type="continuationSeparator" w:id="0">
    <w:p w:rsidR="00000000" w:rsidRDefault="005E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6E" w:rsidRPr="001E37DC" w:rsidRDefault="000512CD" w:rsidP="00234BA5">
    <w:pPr>
      <w:pStyle w:val="Stopka"/>
      <w:ind w:right="360"/>
      <w:jc w:val="center"/>
      <w:rPr>
        <w:sz w:val="18"/>
        <w:szCs w:val="18"/>
      </w:rPr>
    </w:pPr>
    <w:r w:rsidRPr="001E37DC">
      <w:rPr>
        <w:sz w:val="18"/>
        <w:szCs w:val="18"/>
      </w:rPr>
      <w:t xml:space="preserve">Projekt współfinansowany przez Unię Europejską w ramach Europejskiego Funduszu </w:t>
    </w:r>
    <w:r w:rsidRPr="001E37DC">
      <w:rPr>
        <w:rFonts w:ascii="Times New (W1)" w:hAnsi="Times New (W1)" w:cs="Times New (W1)"/>
        <w:iCs/>
        <w:sz w:val="18"/>
        <w:szCs w:val="18"/>
      </w:rPr>
      <w:t>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6279">
      <w:r>
        <w:separator/>
      </w:r>
    </w:p>
  </w:footnote>
  <w:footnote w:type="continuationSeparator" w:id="0">
    <w:p w:rsidR="00000000" w:rsidRDefault="005E6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ayout w:type="fixed"/>
      <w:tblLook w:val="01E0" w:firstRow="1" w:lastRow="1" w:firstColumn="1" w:lastColumn="1" w:noHBand="0" w:noVBand="0"/>
    </w:tblPr>
    <w:tblGrid>
      <w:gridCol w:w="3780"/>
      <w:gridCol w:w="3600"/>
      <w:gridCol w:w="3420"/>
    </w:tblGrid>
    <w:tr w:rsidR="00CC786E" w:rsidTr="002E2A59">
      <w:trPr>
        <w:trHeight w:val="1252"/>
      </w:trPr>
      <w:tc>
        <w:tcPr>
          <w:tcW w:w="3780" w:type="dxa"/>
        </w:tcPr>
        <w:p w:rsidR="00CC786E" w:rsidRDefault="000512CD">
          <w:pPr>
            <w:pStyle w:val="Nagwek"/>
          </w:pPr>
          <w:r>
            <w:rPr>
              <w:noProof/>
            </w:rPr>
            <w:drawing>
              <wp:inline distT="0" distB="0" distL="0" distR="0" wp14:anchorId="2CB465C0" wp14:editId="1FB0310C">
                <wp:extent cx="1755775" cy="885190"/>
                <wp:effectExtent l="0" t="0" r="0" b="0"/>
                <wp:docPr id="1" name="Obraz 1" descr="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ITAL_LUDZ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885190"/>
                        </a:xfrm>
                        <a:prstGeom prst="rect">
                          <a:avLst/>
                        </a:prstGeom>
                        <a:noFill/>
                        <a:ln>
                          <a:noFill/>
                        </a:ln>
                      </pic:spPr>
                    </pic:pic>
                  </a:graphicData>
                </a:graphic>
              </wp:inline>
            </w:drawing>
          </w:r>
        </w:p>
      </w:tc>
      <w:tc>
        <w:tcPr>
          <w:tcW w:w="3600" w:type="dxa"/>
        </w:tcPr>
        <w:p w:rsidR="00CC786E" w:rsidRDefault="000512CD" w:rsidP="002E2A59">
          <w:pPr>
            <w:pStyle w:val="Nagwek"/>
            <w:jc w:val="center"/>
          </w:pPr>
          <w:r>
            <w:rPr>
              <w:noProof/>
            </w:rPr>
            <w:drawing>
              <wp:anchor distT="0" distB="0" distL="114300" distR="114300" simplePos="0" relativeHeight="251659264" behindDoc="0" locked="0" layoutInCell="1" allowOverlap="1" wp14:anchorId="1CA02A77" wp14:editId="4789E12F">
                <wp:simplePos x="0" y="0"/>
                <wp:positionH relativeFrom="column">
                  <wp:posOffset>331470</wp:posOffset>
                </wp:positionH>
                <wp:positionV relativeFrom="paragraph">
                  <wp:posOffset>151130</wp:posOffset>
                </wp:positionV>
                <wp:extent cx="1485900" cy="568325"/>
                <wp:effectExtent l="0" t="0" r="0" b="3175"/>
                <wp:wrapNone/>
                <wp:docPr id="3" name="Obraz 3" descr="WW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SI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68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rsidR="00CC786E" w:rsidRDefault="000512CD" w:rsidP="002E2A59">
          <w:pPr>
            <w:pStyle w:val="Nagwek"/>
            <w:jc w:val="right"/>
          </w:pPr>
          <w:r>
            <w:rPr>
              <w:noProof/>
            </w:rPr>
            <w:drawing>
              <wp:anchor distT="0" distB="0" distL="114300" distR="114300" simplePos="0" relativeHeight="251660288" behindDoc="0" locked="0" layoutInCell="1" allowOverlap="1" wp14:anchorId="3C3B6D30" wp14:editId="4ED895F7">
                <wp:simplePos x="0" y="0"/>
                <wp:positionH relativeFrom="column">
                  <wp:posOffset>-22225</wp:posOffset>
                </wp:positionH>
                <wp:positionV relativeFrom="paragraph">
                  <wp:posOffset>0</wp:posOffset>
                </wp:positionV>
                <wp:extent cx="2125345" cy="937260"/>
                <wp:effectExtent l="0" t="0" r="8255"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5345" cy="9372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C786E" w:rsidRDefault="005E62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88E"/>
    <w:multiLevelType w:val="hybridMultilevel"/>
    <w:tmpl w:val="B0320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024698"/>
    <w:multiLevelType w:val="hybridMultilevel"/>
    <w:tmpl w:val="09B6D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CD"/>
    <w:rsid w:val="000512CD"/>
    <w:rsid w:val="005E6279"/>
    <w:rsid w:val="00736C5C"/>
    <w:rsid w:val="00A80B66"/>
    <w:rsid w:val="00E54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2C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autoRedefine/>
    <w:uiPriority w:val="9"/>
    <w:unhideWhenUsed/>
    <w:qFormat/>
    <w:rsid w:val="00A80B66"/>
    <w:pPr>
      <w:keepNext/>
      <w:keepLines/>
      <w:suppressAutoHyphens/>
      <w:spacing w:line="360" w:lineRule="auto"/>
      <w:outlineLvl w:val="1"/>
    </w:pPr>
    <w:rPr>
      <w:rFonts w:ascii="Georgia" w:eastAsiaTheme="majorEastAsia" w:hAnsi="Georgia" w:cstheme="majorBidi"/>
      <w:b/>
      <w:bCs/>
      <w:color w:val="4F81BD" w:themeColor="accent1"/>
      <w:sz w:val="2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80B66"/>
    <w:rPr>
      <w:rFonts w:ascii="Georgia" w:eastAsiaTheme="majorEastAsia" w:hAnsi="Georgia" w:cstheme="majorBidi"/>
      <w:b/>
      <w:bCs/>
      <w:color w:val="4F81BD" w:themeColor="accent1"/>
      <w:sz w:val="28"/>
      <w:szCs w:val="26"/>
      <w:lang w:eastAsia="ar-SA"/>
    </w:rPr>
  </w:style>
  <w:style w:type="paragraph" w:styleId="Nagwek">
    <w:name w:val="header"/>
    <w:basedOn w:val="Normalny"/>
    <w:link w:val="NagwekZnak"/>
    <w:uiPriority w:val="99"/>
    <w:rsid w:val="000512CD"/>
    <w:pPr>
      <w:tabs>
        <w:tab w:val="center" w:pos="4536"/>
        <w:tab w:val="right" w:pos="9072"/>
      </w:tabs>
    </w:pPr>
  </w:style>
  <w:style w:type="character" w:customStyle="1" w:styleId="NagwekZnak">
    <w:name w:val="Nagłówek Znak"/>
    <w:basedOn w:val="Domylnaczcionkaakapitu"/>
    <w:link w:val="Nagwek"/>
    <w:uiPriority w:val="99"/>
    <w:rsid w:val="000512C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512CD"/>
    <w:pPr>
      <w:tabs>
        <w:tab w:val="center" w:pos="4536"/>
        <w:tab w:val="right" w:pos="9072"/>
      </w:tabs>
    </w:pPr>
  </w:style>
  <w:style w:type="character" w:customStyle="1" w:styleId="StopkaZnak">
    <w:name w:val="Stopka Znak"/>
    <w:basedOn w:val="Domylnaczcionkaakapitu"/>
    <w:link w:val="Stopka"/>
    <w:uiPriority w:val="99"/>
    <w:rsid w:val="000512CD"/>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512CD"/>
    <w:rPr>
      <w:color w:val="0000FF"/>
      <w:u w:val="single"/>
    </w:rPr>
  </w:style>
  <w:style w:type="table" w:styleId="Tabela-Siatka">
    <w:name w:val="Table Grid"/>
    <w:basedOn w:val="Standardowy"/>
    <w:uiPriority w:val="59"/>
    <w:rsid w:val="00051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512CD"/>
    <w:pPr>
      <w:ind w:left="720"/>
      <w:contextualSpacing/>
    </w:pPr>
  </w:style>
  <w:style w:type="paragraph" w:styleId="Tekstdymka">
    <w:name w:val="Balloon Text"/>
    <w:basedOn w:val="Normalny"/>
    <w:link w:val="TekstdymkaZnak"/>
    <w:uiPriority w:val="99"/>
    <w:semiHidden/>
    <w:unhideWhenUsed/>
    <w:rsid w:val="000512CD"/>
    <w:rPr>
      <w:rFonts w:ascii="Tahoma" w:hAnsi="Tahoma" w:cs="Tahoma"/>
      <w:sz w:val="16"/>
      <w:szCs w:val="16"/>
    </w:rPr>
  </w:style>
  <w:style w:type="character" w:customStyle="1" w:styleId="TekstdymkaZnak">
    <w:name w:val="Tekst dymka Znak"/>
    <w:basedOn w:val="Domylnaczcionkaakapitu"/>
    <w:link w:val="Tekstdymka"/>
    <w:uiPriority w:val="99"/>
    <w:semiHidden/>
    <w:rsid w:val="000512C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2C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autoRedefine/>
    <w:uiPriority w:val="9"/>
    <w:unhideWhenUsed/>
    <w:qFormat/>
    <w:rsid w:val="00A80B66"/>
    <w:pPr>
      <w:keepNext/>
      <w:keepLines/>
      <w:suppressAutoHyphens/>
      <w:spacing w:line="360" w:lineRule="auto"/>
      <w:outlineLvl w:val="1"/>
    </w:pPr>
    <w:rPr>
      <w:rFonts w:ascii="Georgia" w:eastAsiaTheme="majorEastAsia" w:hAnsi="Georgia" w:cstheme="majorBidi"/>
      <w:b/>
      <w:bCs/>
      <w:color w:val="4F81BD" w:themeColor="accent1"/>
      <w:sz w:val="2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80B66"/>
    <w:rPr>
      <w:rFonts w:ascii="Georgia" w:eastAsiaTheme="majorEastAsia" w:hAnsi="Georgia" w:cstheme="majorBidi"/>
      <w:b/>
      <w:bCs/>
      <w:color w:val="4F81BD" w:themeColor="accent1"/>
      <w:sz w:val="28"/>
      <w:szCs w:val="26"/>
      <w:lang w:eastAsia="ar-SA"/>
    </w:rPr>
  </w:style>
  <w:style w:type="paragraph" w:styleId="Nagwek">
    <w:name w:val="header"/>
    <w:basedOn w:val="Normalny"/>
    <w:link w:val="NagwekZnak"/>
    <w:uiPriority w:val="99"/>
    <w:rsid w:val="000512CD"/>
    <w:pPr>
      <w:tabs>
        <w:tab w:val="center" w:pos="4536"/>
        <w:tab w:val="right" w:pos="9072"/>
      </w:tabs>
    </w:pPr>
  </w:style>
  <w:style w:type="character" w:customStyle="1" w:styleId="NagwekZnak">
    <w:name w:val="Nagłówek Znak"/>
    <w:basedOn w:val="Domylnaczcionkaakapitu"/>
    <w:link w:val="Nagwek"/>
    <w:uiPriority w:val="99"/>
    <w:rsid w:val="000512C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512CD"/>
    <w:pPr>
      <w:tabs>
        <w:tab w:val="center" w:pos="4536"/>
        <w:tab w:val="right" w:pos="9072"/>
      </w:tabs>
    </w:pPr>
  </w:style>
  <w:style w:type="character" w:customStyle="1" w:styleId="StopkaZnak">
    <w:name w:val="Stopka Znak"/>
    <w:basedOn w:val="Domylnaczcionkaakapitu"/>
    <w:link w:val="Stopka"/>
    <w:uiPriority w:val="99"/>
    <w:rsid w:val="000512CD"/>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512CD"/>
    <w:rPr>
      <w:color w:val="0000FF"/>
      <w:u w:val="single"/>
    </w:rPr>
  </w:style>
  <w:style w:type="table" w:styleId="Tabela-Siatka">
    <w:name w:val="Table Grid"/>
    <w:basedOn w:val="Standardowy"/>
    <w:uiPriority w:val="59"/>
    <w:rsid w:val="00051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512CD"/>
    <w:pPr>
      <w:ind w:left="720"/>
      <w:contextualSpacing/>
    </w:pPr>
  </w:style>
  <w:style w:type="paragraph" w:styleId="Tekstdymka">
    <w:name w:val="Balloon Text"/>
    <w:basedOn w:val="Normalny"/>
    <w:link w:val="TekstdymkaZnak"/>
    <w:uiPriority w:val="99"/>
    <w:semiHidden/>
    <w:unhideWhenUsed/>
    <w:rsid w:val="000512CD"/>
    <w:rPr>
      <w:rFonts w:ascii="Tahoma" w:hAnsi="Tahoma" w:cs="Tahoma"/>
      <w:sz w:val="16"/>
      <w:szCs w:val="16"/>
    </w:rPr>
  </w:style>
  <w:style w:type="character" w:customStyle="1" w:styleId="TekstdymkaZnak">
    <w:name w:val="Tekst dymka Znak"/>
    <w:basedOn w:val="Domylnaczcionkaakapitu"/>
    <w:link w:val="Tekstdymka"/>
    <w:uiPriority w:val="99"/>
    <w:semiHidden/>
    <w:rsid w:val="000512C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282</Words>
  <Characters>1692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WWSI</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Kopacz</dc:creator>
  <cp:keywords/>
  <dc:description/>
  <cp:lastModifiedBy>Magda Kopacz</cp:lastModifiedBy>
  <cp:revision>2</cp:revision>
  <dcterms:created xsi:type="dcterms:W3CDTF">2014-03-12T11:18:00Z</dcterms:created>
  <dcterms:modified xsi:type="dcterms:W3CDTF">2014-03-12T12:07:00Z</dcterms:modified>
</cp:coreProperties>
</file>